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114</w:t>
      </w:r>
    </w:p>
    <w:p>
      <w:r>
        <w:t>Bundesgericht (BGE), 1982-12-17, DE</w:t>
      </w:r>
    </w:p>
    <w:p>
      <w:r>
        <w:rPr>
          <w:b/>
        </w:rPr>
        <w:t xml:space="preserve">Quelle: </w:t>
      </w:r>
      <w:r>
        <w:t>https://mcp.opencaselaw.ch/entscheid/bge_108 III 114</w:t>
      </w:r>
    </w:p>
    <w:p>
      <w:r>
        <w:t>FR: ATF 108 III 114</w:t>
      </w:r>
    </w:p>
    <w:p>
      <w:r>
        <w:t>IT: DTF 108 III 114</w:t>
      </w:r>
    </w:p>
    <w:p>
      <w:pPr>
        <w:pStyle w:val="Heading2"/>
      </w:pPr>
      <w:r>
        <w:t>Regeste</w:t>
      </w:r>
    </w:p>
    <w:p>
      <w:r>
        <w:t>Regeste Arrestvollzug; Legitimation zur Beschwerde. Beschwerde gegen die Arrestierung von Vermögenswerten, von denen der Gläubiger selbst nicht behauptet, dass sie dem Schuldner gehören. Die Bank ist als Drittinhaberin der mit Arrest belegten Vermögensstücke zur Beschwerde legitimiert, selbst wenn sie die Auskunft über das Vorhandensein von Arrestgegenständen verweigert, da insoweit eine Auskunftspflicht nicht besteht (E. 2). Materielle Prüfung der Beschwerde (E. 3).</w:t>
      </w:r>
    </w:p>
    <w:p>
      <w:pPr>
        <w:pStyle w:val="Heading2"/>
      </w:pPr>
      <w:r>
        <w:t>Erwägungen</w:t>
      </w:r>
    </w:p>
    <w:p>
      <w:r>
        <w:rPr>
          <w:b/>
        </w:rPr>
        <w:t>E. 1</w:t>
      </w:r>
    </w:p>
    <w:p>
      <w:r>
        <w:t>Die Vorinstanz hat ihren Entscheid damit begründet, die Rekurrentin habe trotz ausdrücklicher Aufforderung durch das Betreibungsamt jegliche Auskunft darüber verweigert, ob und welche Arrestgegenstände sie in ihrem Gewahrsam halte. Es könne daher nicht ausgeschlossen werden, dass sich bei ihr gar keine Vermögenswerte der Arrestschuldnerin befänden. Sollte dies zutreffen, hätte sie kein rechtliches Interesse daran, die Zulässigkeit des Arrestvollzugs überprüfen zu lassen. Indem die Rekurrentin ihrer gesetzlichen Auskunftspflicht nicht nachgekommen sei, habe sie den Aufsichtsbehörden verunmöglicht, die Frage des Rechtsschutzinteresses zu prüfen. Es sei rechtsmissbräuchlich, einen Entscheid über einen möglicherweise gar nicht existierenden Streitgegenstand zu verlangen, weshalb auf die Beschwerde nicht einzutreten sei.</w:t>
      </w:r>
    </w:p>
    <w:p>
      <w:r>
        <w:rPr>
          <w:b/>
        </w:rPr>
        <w:t>E. 2</w:t>
      </w:r>
    </w:p>
    <w:p>
      <w:r>
        <w:t>Soweit mit der Beschwerde geltend gemacht wird, der Arrest erfasse auch Vermögenswerte, von denen die Gläubigerin selbst nicht behaupte, dass sie rechtlich der Arrestschuldnerin gehörten, kann dieser Begründung nicht gefolgt werden. Zwar ist richtig, dass sich Banken als Drittinhaber von mit Arrest belegten Vermögensstücken der Auskunftspflicht gegenüber den Betreibungsbehörden nach der Rechtsprechung grundsätzlich nicht unter BGE 108 III 114 S. 117 Berufung auf das Bankgeheimnis widersetzen dürfen ( BGE 104 III 50 , BGE 103 III 92 E. 1, mit Hinweisen). Behauptet jedoch eine Bank wie im vorliegenden Fall, es seien Vermögensstücke beschlagnahmt worden, die ganz offensichtlich, nach der eigenen Darstellung der Arrestgläubigerin, nicht dem Arrestschuldner gehörten, so kann von ihr nicht verlangt werden, über das Vorhandensein von solchen Vermögensstücken Auskunft zu erteilen. Die Auskunftspflicht der Bank kann sich nicht auf Vermögen beziehen, das Drittpersonen gehört, die nicht in das Betreibungsverfahren einbezogen sind, es sei denn, das Vermögen stehe in Wirklichkeit dem Schuldner zu und laute nur dem Namen nach auf den Dritten. Gewahrsamsinhaber von mit Arrest belegten Vermögensstücken haben ein schützenswertes Interesse daran, ihre Geschäftsbeziehungen zu Dritten, gegen die im Arrestbewilligungsverfahren keine Forderung glaubhaft gemacht worden ist, nicht aufdecken zu müssen. Geht man aber davon aus, so ist der Argumentation der Vorinstanz der Boden entzogen. Trifft es nämlich zu, dass vom Arrest auch Vermögensstücke Dritter erfasst werden, wie die Rekurrentin geltend macht, so ist diese nach dem Gesagten insoweit nicht auskunftspflichtig. Alsdann kann ihr aber auch kein rechtsmissbräuchliches Verhalten zur Last gelegt werden, wenn sie die Auskunft über das Vorhandensein von Arrestgegenständen verweigert, gleichzeitig aber die Aufhebung des Arrestvollzugs verlangt, soweit er Vermögenswerte Dritter erfasst. Die Vorinstanz hätte daher diesbezüglich auf die Beschwerde eintreten müssen (vgl. auch BGE 103 III 37 E. 1). Dazu hätte um so mehr Anlass bestanden, als die Arrestierung von Vermögenswerten, die vom Gläubiger selbst als Eigentum Dritter bezeichnet werden, wie dies nach der Behauptung der Rekurrentin hier der Fall ist, nach der Rechtsprechung schlechthin nichtig ist ( BGE 107 III 38 und 102, mit Hinweisen). Anders verhält es sich indessen, soweit mit der Beschwerde die Frage aufgeworfen wird, wie weit Akkreditivdokumente mit Arrest belegt werden dürfen. Diese Frage lässt sich ohne Kenntnis der in Betracht fallenden Dokumente nicht beantworten. Die Rekurrentin hat jedoch die Auskunft über die allenfalls vom Arrest erfassten Akkreditivdokumente verweigert, ohne hiefür ein schutzwürdiges Interesse anführen zu können. Damit hat sie die Beurteilung der Frage des Arrestierbarkeit dieser Dokumente selbst verunmöglicht. In dieser Beziehung ist die Vorinstanz daher zu Recht nicht auf die Beschwerde eingetreten. BGE 108 III 114 S. 118</w:t>
      </w:r>
    </w:p>
    <w:p>
      <w:r>
        <w:rPr>
          <w:b/>
        </w:rPr>
        <w:t>E. 3</w:t>
      </w:r>
    </w:p>
    <w:p>
      <w:r>
        <w:t>Soweit auf die Beschwerde einzutreten ist, erweist sie sich indessen als unbegründet. Die Umschreibung der Arrestgegenstände in der Arresturkunde ist freilich missverständlich. Sie verleitet auf den ersten Blick zur Annahme, der Arrest erfasse auch Vermögen von Stellvertretern oder Treuhändern der Arrestschuldnerin, was offensichtlich unzulässig wäre (vgl. BGE 107 III 104 /105, BGE 106 III 89 ). Das ist jedoch nicht der Sinn der Urkunde. Zwar ist am Anfang ganz allgemein von den Vermögenswerten der Stellvertreter oder Treuhänder der Arrestschuldnerin die Rede. Am Schluss heisst es jedoch, der Arrest beschlage "alle sonstigen Konten und Ansprüche, soweit auf den Namen der Arrestschuldnerin oder der Herren Elie, Waguih oder R. Siag oder auf Nummern oder Decknamen bzw. Codebezeichnungen lautend, über welche die Arretschuldnerin oder die Herren Elie, Waguih oder R. Siag bevollmächtigt sind oder von denen der Bank sonst bekannt ist oder bekannt sein müsste, dass sie der Arrestschuldnerin zustehen". Dieser Formulierung lässt sich entnehmen, dass die Gläubigerin nicht das Vermögen der Treuhänder und Bevollmächtigten der Arrestschuldnerin als solches mit Arrest belegen lassen wollte, sondern dass sie dieses auf den Namen Dritter lautende Vermögen als in Wirklichkeit der Arrestschuldnerin zugehörig betrachtet. Jedenfalls kann nicht gesagt werden, es wolle offensichtlich und auch nach Meinung der Gläubigerin Drittvermögen beschlagnahmt werden. Was die Stellung der Rekurrentin anbetrifft, so wird von ihr im Ergebnis wie in BGE 96 III 110 E. 3 nur verlangt, dass sie jene Guthaben sperre, von denen sie weiss oder wissen muss, dass sie der Arrestschuldnerin gehören, auch wenn sie auf den Namen eines Dritten lauten. Es besteht daher kein Anlass, den Arrestvollzug in dem von der Rekurrentin beantragten Sinn einzuschränken. Immerhin ist dem Betreibungsamt zu empfehlen, bei der Umschreibung der Arrestgegenstände in Zukunft eine weniger missverständliche Formulierung zu wählen.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